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157480</wp:posOffset>
            </wp:positionV>
            <wp:extent cx="7132320"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191770</wp:posOffset>
            </wp:positionV>
            <wp:extent cx="71323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890"/>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ind w:left="5000"/>
        <w:spacing w:after="0"/>
        <w:rPr>
          <w:sz w:val="20"/>
          <w:szCs w:val="20"/>
          <w:color w:val="auto"/>
        </w:rPr>
      </w:pPr>
      <w:r>
        <w:rPr>
          <w:rFonts w:ascii="Arial" w:cs="Arial" w:eastAsia="Arial" w:hAnsi="Arial"/>
          <w:sz w:val="25"/>
          <w:szCs w:val="25"/>
          <w:b w:val="1"/>
          <w:bCs w:val="1"/>
          <w:color w:val="auto"/>
        </w:rPr>
        <w:t>FORM 6-K</w:t>
      </w:r>
    </w:p>
    <w:p>
      <w:pPr>
        <w:spacing w:after="0" w:line="200" w:lineRule="exact"/>
        <w:rPr>
          <w:sz w:val="24"/>
          <w:szCs w:val="24"/>
          <w:color w:val="auto"/>
        </w:rPr>
      </w:pPr>
    </w:p>
    <w:p>
      <w:pPr>
        <w:spacing w:after="0" w:line="250"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May, 2021</w:t>
      </w:r>
    </w:p>
    <w:p>
      <w:pPr>
        <w:spacing w:after="0" w:line="225" w:lineRule="exact"/>
        <w:rPr>
          <w:sz w:val="24"/>
          <w:szCs w:val="24"/>
          <w:color w:val="auto"/>
        </w:rPr>
      </w:pPr>
    </w:p>
    <w:p>
      <w:pPr>
        <w:ind w:left="4380"/>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32"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ind w:left="3940"/>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520"/>
        <w:spacing w:after="0" w:line="207" w:lineRule="exact"/>
        <w:tabs>
          <w:tab w:leader="none" w:pos="572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060"/>
        <w:spacing w:after="0" w:line="207" w:lineRule="exact"/>
        <w:tabs>
          <w:tab w:leader="none" w:pos="574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060"/>
        <w:spacing w:after="0" w:line="207" w:lineRule="exact"/>
        <w:tabs>
          <w:tab w:leader="none" w:pos="574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507365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508"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6" w:lineRule="exact"/>
        <w:rPr>
          <w:sz w:val="20"/>
          <w:szCs w:val="20"/>
          <w:color w:val="auto"/>
        </w:rPr>
      </w:pPr>
    </w:p>
    <w:p>
      <w:pPr>
        <w:spacing w:after="0"/>
        <w:rPr>
          <w:sz w:val="20"/>
          <w:szCs w:val="20"/>
          <w:color w:val="auto"/>
        </w:rPr>
      </w:pPr>
      <w:r>
        <w:rPr>
          <w:rFonts w:ascii="Arial" w:cs="Arial" w:eastAsia="Arial" w:hAnsi="Arial"/>
          <w:sz w:val="18"/>
          <w:szCs w:val="18"/>
          <w:color w:val="auto"/>
        </w:rPr>
        <w:t>Date: May 5, 2021</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6200"/>
        <w:spacing w:after="0"/>
        <w:rPr>
          <w:sz w:val="20"/>
          <w:szCs w:val="20"/>
          <w:color w:val="auto"/>
        </w:rPr>
      </w:pPr>
      <w:r>
        <w:rPr>
          <w:rFonts w:ascii="Arial" w:cs="Arial" w:eastAsia="Arial" w:hAnsi="Arial"/>
          <w:sz w:val="18"/>
          <w:szCs w:val="18"/>
          <w:color w:val="auto"/>
        </w:rPr>
        <w:t xml:space="preserve">By: </w:t>
      </w:r>
      <w:r>
        <w:rPr>
          <w:rFonts w:ascii="Arial" w:cs="Arial" w:eastAsia="Arial" w:hAnsi="Arial"/>
          <w:sz w:val="18"/>
          <w:szCs w:val="18"/>
          <w:u w:val="single" w:color="auto"/>
          <w:color w:val="auto"/>
        </w:rPr>
        <w:t>/s/ Ana Graciela de Méndez</w:t>
      </w:r>
    </w:p>
    <w:p>
      <w:pPr>
        <w:spacing w:after="0" w:line="225" w:lineRule="exact"/>
        <w:rPr>
          <w:sz w:val="20"/>
          <w:szCs w:val="20"/>
          <w:color w:val="auto"/>
        </w:rPr>
      </w:pPr>
    </w:p>
    <w:p>
      <w:pPr>
        <w:ind w:left="620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620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2891155</wp:posOffset>
            </wp:positionH>
            <wp:positionV relativeFrom="page">
              <wp:posOffset>586105</wp:posOffset>
            </wp:positionV>
            <wp:extent cx="1765935" cy="7289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1765935" cy="7289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center"/>
        <w:spacing w:after="0"/>
        <w:rPr>
          <w:sz w:val="20"/>
          <w:szCs w:val="20"/>
          <w:color w:val="auto"/>
        </w:rPr>
      </w:pPr>
      <w:r>
        <w:rPr>
          <w:rFonts w:ascii="Arial" w:cs="Arial" w:eastAsia="Arial" w:hAnsi="Arial"/>
          <w:sz w:val="25"/>
          <w:szCs w:val="25"/>
          <w:b w:val="1"/>
          <w:bCs w:val="1"/>
          <w:color w:val="auto"/>
        </w:rPr>
        <w:t>Bladex Announces Up To $60,000,000 Common Stock Repurchase Plan</w:t>
      </w:r>
    </w:p>
    <w:p>
      <w:pPr>
        <w:spacing w:after="0" w:line="200" w:lineRule="exact"/>
        <w:rPr>
          <w:sz w:val="20"/>
          <w:szCs w:val="20"/>
          <w:color w:val="auto"/>
        </w:rPr>
      </w:pPr>
    </w:p>
    <w:p>
      <w:pPr>
        <w:spacing w:after="0" w:line="246" w:lineRule="exact"/>
        <w:rPr>
          <w:sz w:val="20"/>
          <w:szCs w:val="20"/>
          <w:color w:val="auto"/>
        </w:rPr>
      </w:pPr>
    </w:p>
    <w:p>
      <w:pPr>
        <w:jc w:val="both"/>
        <w:spacing w:after="0" w:line="282" w:lineRule="auto"/>
        <w:rPr>
          <w:sz w:val="20"/>
          <w:szCs w:val="20"/>
          <w:color w:val="auto"/>
        </w:rPr>
      </w:pPr>
      <w:r>
        <w:rPr>
          <w:rFonts w:ascii="Arial" w:cs="Arial" w:eastAsia="Arial" w:hAnsi="Arial"/>
          <w:sz w:val="18"/>
          <w:szCs w:val="18"/>
          <w:b w:val="1"/>
          <w:bCs w:val="1"/>
          <w:color w:val="auto"/>
        </w:rPr>
        <w:t xml:space="preserve">Panama City, Republic of Panama, May 5, 2021 </w:t>
      </w:r>
      <w:r>
        <w:rPr>
          <w:rFonts w:ascii="Arial" w:cs="Arial" w:eastAsia="Arial" w:hAnsi="Arial"/>
          <w:sz w:val="18"/>
          <w:szCs w:val="18"/>
          <w:color w:val="auto"/>
        </w:rPr>
        <w:t>- Banco Latinoamericano de Comercio Exterior, S.A. (“Bladex” or the “Bank”), today announced that</w:t>
      </w:r>
      <w:r>
        <w:rPr>
          <w:rFonts w:ascii="Arial" w:cs="Arial" w:eastAsia="Arial" w:hAnsi="Arial"/>
          <w:sz w:val="18"/>
          <w:szCs w:val="18"/>
          <w:b w:val="1"/>
          <w:bCs w:val="1"/>
          <w:color w:val="auto"/>
        </w:rPr>
        <w:t xml:space="preserve"> </w:t>
      </w:r>
      <w:r>
        <w:rPr>
          <w:rFonts w:ascii="Arial" w:cs="Arial" w:eastAsia="Arial" w:hAnsi="Arial"/>
          <w:sz w:val="18"/>
          <w:szCs w:val="18"/>
          <w:color w:val="auto"/>
        </w:rPr>
        <w:t xml:space="preserve">its Board of Directors has authorized a repurchase program of up to </w:t>
      </w:r>
      <w:r>
        <w:rPr>
          <w:rFonts w:ascii="Arial" w:cs="Arial" w:eastAsia="Arial" w:hAnsi="Arial"/>
          <w:sz w:val="18"/>
          <w:szCs w:val="18"/>
          <w:b w:val="1"/>
          <w:bCs w:val="1"/>
          <w:color w:val="auto"/>
        </w:rPr>
        <w:t>$60 million</w:t>
      </w:r>
      <w:r>
        <w:rPr>
          <w:rFonts w:ascii="Arial" w:cs="Arial" w:eastAsia="Arial" w:hAnsi="Arial"/>
          <w:sz w:val="18"/>
          <w:szCs w:val="18"/>
          <w:color w:val="auto"/>
        </w:rPr>
        <w:t xml:space="preserve"> of the Bank’s common stock.</w:t>
      </w:r>
    </w:p>
    <w:p>
      <w:pPr>
        <w:spacing w:after="0" w:line="166"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repurchase program is intended to comply with Rule 10b-18 promulgated under the Securities Exchange Act of 1934, as amended (“Rule 10b-18”). Purchases under the repurchase program will be made in open market transactions at prevailing market prices, in privately negotiated transactions, or by other means in compliance with Rule 10b-18. However, the Bank has no obligation to repurchase shares and the timing, actual number, and value of shares to be repurchased is subject to management’s discretion and will depend on the Bank’s capital position, liquidity, financial performance and alternative uses of capital, stock trading price, regulatory requirements and other market conditions. The Bank may, in the sole discretion of its Board of Directors, terminate the repurchase program at any time while it is in effect.</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Forward-Looking Statements</w:t>
      </w:r>
    </w:p>
    <w:p>
      <w:pPr>
        <w:spacing w:after="0" w:line="229" w:lineRule="exact"/>
        <w:rPr>
          <w:sz w:val="20"/>
          <w:szCs w:val="20"/>
          <w:color w:val="auto"/>
        </w:rPr>
      </w:pPr>
    </w:p>
    <w:p>
      <w:pPr>
        <w:jc w:val="both"/>
        <w:spacing w:after="0" w:line="273" w:lineRule="auto"/>
        <w:rPr>
          <w:sz w:val="20"/>
          <w:szCs w:val="20"/>
          <w:color w:val="auto"/>
        </w:rPr>
      </w:pPr>
      <w:r>
        <w:rPr>
          <w:rFonts w:ascii="Arial" w:cs="Arial" w:eastAsia="Arial" w:hAnsi="Arial"/>
          <w:sz w:val="17"/>
          <w:szCs w:val="17"/>
          <w:i w:val="1"/>
          <w:iCs w:val="1"/>
          <w:color w:val="auto"/>
        </w:rPr>
        <w:t>This document includes certain "forward-looking statements" within the meaning of the Private Securities Litigation Reform Act of 1995. These statements are based on management's current expectations and are subject to uncertainty and changes in circumstances. Actual results may differ materially from these expectations due to changes in global political, economic, business, competitive, market and regulatory factors. More detailed information about those factors is contained in Bladex's most recent reports filed on Form 20-F with, and furnished on Form 6-K to, the Securities and Exchange Commission, each as it may be amended from time to time, which identify important risk factors that could cause actual results to differ from those contained in the forward-looking statements. Bladex disclaims any intent or obligation to update these forward-looking statements.</w:t>
      </w:r>
    </w:p>
    <w:p>
      <w:pPr>
        <w:spacing w:after="0" w:line="1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1323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2891155</wp:posOffset>
            </wp:positionH>
            <wp:positionV relativeFrom="page">
              <wp:posOffset>586105</wp:posOffset>
            </wp:positionV>
            <wp:extent cx="1765935" cy="7289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1765935" cy="7289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Arial" w:cs="Arial" w:eastAsia="Arial" w:hAnsi="Arial"/>
          <w:sz w:val="16"/>
          <w:szCs w:val="16"/>
          <w:color w:val="auto"/>
        </w:rPr>
        <w:t xml:space="preserve">For further information on Bladex, please access its website at </w:t>
      </w:r>
      <w:r>
        <w:rPr>
          <w:rFonts w:ascii="Arial" w:cs="Arial" w:eastAsia="Arial" w:hAnsi="Arial"/>
          <w:sz w:val="16"/>
          <w:szCs w:val="16"/>
          <w:u w:val="single" w:color="auto"/>
          <w:color w:val="0000FF"/>
        </w:rPr>
        <w:t>www.bladex.com</w:t>
      </w:r>
      <w:r>
        <w:rPr>
          <w:rFonts w:ascii="Arial" w:cs="Arial" w:eastAsia="Arial" w:hAnsi="Arial"/>
          <w:sz w:val="16"/>
          <w:szCs w:val="16"/>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164465</wp:posOffset>
            </wp:positionV>
            <wp:extent cx="7136130" cy="7219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6130" cy="721995"/>
                    </a:xfrm>
                    <a:prstGeom prst="rect">
                      <a:avLst/>
                    </a:prstGeom>
                    <a:noFill/>
                  </pic:spPr>
                </pic:pic>
              </a:graphicData>
            </a:graphic>
          </wp:anchor>
        </w:drawing>
      </w:r>
    </w:p>
    <w:p>
      <w:pPr>
        <w:spacing w:after="0" w:line="26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Monica Cosulich - SVP, Finance and Investor Relations</w:t>
      </w:r>
    </w:p>
    <w:p>
      <w:pPr>
        <w:spacing w:after="0" w:line="23" w:lineRule="exact"/>
        <w:rPr>
          <w:sz w:val="20"/>
          <w:szCs w:val="20"/>
          <w:color w:val="auto"/>
        </w:rPr>
      </w:pPr>
    </w:p>
    <w:p>
      <w:pPr>
        <w:ind w:left="100"/>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0000FF"/>
        </w:rPr>
        <w:t>ir@bladex.com</w:t>
      </w:r>
      <w:r>
        <w:rPr>
          <w:rFonts w:ascii="Arial" w:cs="Arial" w:eastAsia="Arial" w:hAnsi="Arial"/>
          <w:sz w:val="18"/>
          <w:szCs w:val="18"/>
          <w:color w:val="auto"/>
        </w:rPr>
        <w:t>. Tel.: (+507) 210-8563</w:t>
      </w:r>
    </w:p>
    <w:p>
      <w:pPr>
        <w:spacing w:after="0" w:line="9" w:lineRule="exact"/>
        <w:rPr>
          <w:sz w:val="20"/>
          <w:szCs w:val="20"/>
          <w:color w:val="auto"/>
        </w:rPr>
      </w:pPr>
    </w:p>
    <w:p>
      <w:pPr>
        <w:ind w:left="100" w:right="3939"/>
        <w:spacing w:after="0" w:line="260" w:lineRule="auto"/>
        <w:rPr>
          <w:sz w:val="20"/>
          <w:szCs w:val="20"/>
          <w:color w:val="auto"/>
        </w:rPr>
      </w:pPr>
      <w:r>
        <w:rPr>
          <w:rFonts w:ascii="Arial" w:cs="Arial" w:eastAsia="Arial" w:hAnsi="Arial"/>
          <w:sz w:val="18"/>
          <w:szCs w:val="18"/>
          <w:color w:val="auto"/>
        </w:rPr>
        <w:t>Head Office Address: Torre V, Business Park, Ave. La Rotonda, Urb. Costa del Este, 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426720</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0139"/>
      </w:cols>
      <w:pgMar w:left="32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jpeg"/><Relationship Id="rId17" Type="http://schemas.openxmlformats.org/officeDocument/2006/relationships/image" Target="media/image10.png"/><Relationship Id="rId18" Type="http://schemas.openxmlformats.org/officeDocument/2006/relationships/image" Target="media/image1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2021-05-05T15:26:12Z</dcterms:created>
  <dcterms:modified xsi:type="dcterms:W3CDTF">2021-05-05T15:26:12Z</dcterms:modified>
</cp:coreProperties>
</file>